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F7D" w:rsidRDefault="00205222" w:rsidP="000941A5">
      <w:pPr>
        <w:pStyle w:val="Styl1"/>
        <w:rPr>
          <w:b/>
          <w:sz w:val="22"/>
        </w:rPr>
      </w:pPr>
      <w:r>
        <w:rPr>
          <w:b/>
          <w:sz w:val="22"/>
        </w:rPr>
        <w:t>D.07.01.01</w:t>
      </w:r>
      <w:r>
        <w:rPr>
          <w:b/>
          <w:sz w:val="22"/>
        </w:rPr>
        <w:tab/>
        <w:t>OZNAKOWANIE POZIOME</w:t>
      </w:r>
    </w:p>
    <w:p w:rsidR="000941A5" w:rsidRPr="004B1626" w:rsidRDefault="000941A5" w:rsidP="000941A5">
      <w:pPr>
        <w:pStyle w:val="Styl1"/>
        <w:rPr>
          <w:b/>
          <w:sz w:val="22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WstĘp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Przedmiot ST</w:t>
      </w:r>
    </w:p>
    <w:p w:rsidR="000941A5" w:rsidRPr="000941A5" w:rsidRDefault="000941A5" w:rsidP="000941A5"/>
    <w:p w:rsidR="00347F7D" w:rsidRDefault="00347F7D" w:rsidP="000941A5">
      <w:pPr>
        <w:pStyle w:val="TEKST1Tre"/>
        <w:spacing w:before="0"/>
      </w:pPr>
      <w:r>
        <w:t>Przedmiotem niniejszej Specyfikacji Technicznej są wymagania dotyczące wykonania i odbioru robót związanych z wykonaniem oznakowania poziomego.</w:t>
      </w:r>
    </w:p>
    <w:p w:rsidR="000941A5" w:rsidRDefault="000941A5" w:rsidP="000941A5">
      <w:pPr>
        <w:pStyle w:val="TEKST1Tre"/>
        <w:spacing w:before="0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stosowania ST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Specyfikacja Techniczna jest stosowana jako dokument przetargowy i kontraktowy przy zlecaniu i realizacji robót wymienionych w punkcie 1.1.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robót objętych ST</w:t>
      </w:r>
    </w:p>
    <w:p w:rsidR="00347F7D" w:rsidRDefault="00347F7D" w:rsidP="000941A5">
      <w:pPr>
        <w:pStyle w:val="Styl1"/>
      </w:pPr>
    </w:p>
    <w:p w:rsidR="00536895" w:rsidRDefault="00347F7D" w:rsidP="00536895">
      <w:pPr>
        <w:pStyle w:val="Styl1"/>
      </w:pPr>
      <w:r>
        <w:t>Ustalenia zawarte w niniejszej Specyfikacji Technicznej dotyczą zasad prowadzenia robót związanych z wykonaniem oznakowania poziomego i obejmuje ozn</w:t>
      </w:r>
      <w:r w:rsidR="00536895">
        <w:t>akowanie cienkowarstwowe stałe.</w:t>
      </w:r>
    </w:p>
    <w:p w:rsidR="00536895" w:rsidRDefault="00536895" w:rsidP="0053689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Określenia podstawowe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1.4.1. Oznakowanie poziome - znaki drogowe poziome, umieszczone na nawierzchni w postaci linii ciągłych lub przerywanych, pojedynczych lub podwójnych, strzałek, napisów, symboli oraz innych linii związanych z oznaczeniem określonych miejsc na tej nawierzchni.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poziome cienkowarstwowe – wykonane farbami o grubości warstwy 0.4–0.8 mm (mierzone na mokro).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Oznakowanie poziome grubowarstwowe – wykonane przy użyciu mas chemoutwardzalnych na zimno oraz prefabrykatów o grubości warstwy 0.9 – 3.5 mm. </w:t>
      </w:r>
    </w:p>
    <w:p w:rsidR="00347F7D" w:rsidRDefault="00347F7D" w:rsidP="000941A5">
      <w:pPr>
        <w:pStyle w:val="Styl1"/>
      </w:pPr>
      <w:r>
        <w:t>Dla linii strukturalnych i profilowanych grubość linii może wynosić 5 mm.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1.4.2. Farba – ciekły produkt, zawierający ciała stałe zdyspergowane w rozpuszczalniku organicznym lub wodzie, występujący w postaci jedno lub wieloskładnikowej. Nakładana pędzlem, wałkiem, przez natrysk lub każdą inną stosowną metodą, wytwarza kohezyjną powłokę w procesie odparowania rozpuszczalnika i/lub reakcji chemicznej.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1.4.3. Masa chemoutwardzalna – materiał stosowany do grubowarstwowego poziomego znakowania dróg, przeznaczony do wykonywania wszystkich rodzajów poziomych </w:t>
      </w:r>
      <w:proofErr w:type="spellStart"/>
      <w:r>
        <w:t>oznakowań</w:t>
      </w:r>
      <w:proofErr w:type="spellEnd"/>
      <w:r>
        <w:t xml:space="preserve"> dróg. Ze względu na trwałość oznakowania może być stosowany w miejscach często lub stale przejeżdżanych przez pojazdy.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1.4.4. Kulki szklane - materiał w postaci przezroczystych, kulistych cząstek szklanych do posypywania lub narzucania pod ciśnieniem na oznakowanie wykonane materiałami w stanie ciekłym, w celu uzyskania widzialności oznakowania w nocy przez odbicie powrotne padającej wiązki światła pojazdu w kierunku kierowcy. Kulki szklane są także składnikami materiałów grubowarstwowych.</w:t>
      </w:r>
    </w:p>
    <w:p w:rsidR="00347F7D" w:rsidRDefault="00347F7D" w:rsidP="000941A5">
      <w:pPr>
        <w:pStyle w:val="Styl1"/>
      </w:pPr>
      <w:bookmarkStart w:id="0" w:name="_GoBack"/>
      <w:bookmarkEnd w:id="0"/>
    </w:p>
    <w:p w:rsidR="00347F7D" w:rsidRDefault="00347F7D" w:rsidP="000941A5">
      <w:pPr>
        <w:pStyle w:val="Styl1"/>
      </w:pPr>
      <w:r>
        <w:t>1.4.5. Materiały prefabrykowane - materiały, które łączy się z powierzchnią drogi przez klejenie, wtapianie, wbudowanie lub w inny sposób. Zalicza się do nich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1.4.6. Pozostałe określenia podane w niniejszej Specyfikacji Technicznej są zgodne z obowiązującymi odpowiednimi polskimi normami i z definicjami podanymi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Ogólne wymagania dotyczące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wymagania dotyczące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 xml:space="preserve">MATERIAŁY 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Ogólne wymagania dotyczące materiałów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wymagania dotyczące materiałów, ich pozyskiwania i składowania podano w ST D.00.00.00 „Wymagania ogólne” pkt 2.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Materiały do wykonania oznakowania poziomego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Każdy materiał używany przez Wykonawcę do poziomego znakowania dróg musi posiadać Aprobatę Techniczną dopuszczającą do stosowania materiałów w budownictwie drogowym i mostowym, wydaną przez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powinien przeprowadzić dodatkowe badania tych materiałów, które budzą wątpliwości jego lub Inżyniera co do jakości, w celu stwierdzenia czy odpowiadają one wymaganiom określonym w aprobacie technicznej.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Badania powinny być wykonane zgodnie z PN-EN </w:t>
      </w:r>
      <w:r>
        <w:rPr>
          <w:i/>
        </w:rPr>
        <w:t>1871-2003 oraz</w:t>
      </w:r>
      <w:r>
        <w:t xml:space="preserve"> „Warunkami technicznymi. Materiały do poziomego znakowania dróg. POD-97”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Materiałami stosowanymi przy wykonywaniu oznakowania poziomego zgodnie z niniejszą ST są: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farba rozpuszczalnikowa, wodorozcieńczalna 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masa chemoutwardzalna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taśmy prefabrykowane,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kulki szklane.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winien żądać od producenta, aby oznakowanie opakowań materiałów do poziomego oznakowania dróg było zgodne z PN-85/0-79252/2, a ponadto na każdym opakowaniu powinien być zamieszczony trwały napis zawierający: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nazwę producenta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masę brutto i netto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numer partii i datę produkcji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informację o klasie szkodliwości i klasie zagrożenia pożarowego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informację, że wyrób posiada aprobatę techniczną </w:t>
      </w:r>
      <w:proofErr w:type="spellStart"/>
      <w:r>
        <w:t>IBDiM</w:t>
      </w:r>
      <w:proofErr w:type="spellEnd"/>
      <w:r>
        <w:t xml:space="preserve"> i jej numer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ewentualne wskazówki dla użytkowników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Okres trwałości dla materiałów stosowanych przy wykonywaniu oznakowania poziomego wynosi odpowiednio: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cienkowarstwowe - 1 rok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grubowarstwowe - 5 lat (prefabrykowane 7 lat)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numPr>
          <w:ilvl w:val="2"/>
          <w:numId w:val="7"/>
        </w:numPr>
        <w:rPr>
          <w:b/>
        </w:rPr>
      </w:pPr>
      <w:r>
        <w:rPr>
          <w:b/>
        </w:rPr>
        <w:t>Materiały do znakowania cienkowarstwowego</w:t>
      </w:r>
    </w:p>
    <w:p w:rsidR="000941A5" w:rsidRDefault="000941A5" w:rsidP="000941A5">
      <w:pPr>
        <w:pStyle w:val="Styl1"/>
        <w:ind w:left="855"/>
        <w:rPr>
          <w:b/>
        </w:rPr>
      </w:pPr>
    </w:p>
    <w:p w:rsidR="00347F7D" w:rsidRDefault="00347F7D" w:rsidP="000941A5">
      <w:pPr>
        <w:pStyle w:val="Styl1"/>
      </w:pPr>
      <w:r>
        <w:t>Materiałami do znakowania cienkowarstwowego powinny być farby nakładane warstwą grubości  0,6mm (na mokro). Powinny to być ciekłe produkty zawierające ciała stałe rozproszone w organicznym rozpuszczalniku lub wodzie, które mogą występować w układach jedno- lub wieloskładnikowych.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Podczas nakładania farb, do znakowania cienkowarstwowego, na nawierzchnię pędzlem, wałkiem lub przez natrysk, powinny one tworzyć warstwę kohezyjną w procesie odparowania i/lub w procesie chemicznym.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cienkowarstwowego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  <w:bCs/>
          <w:i/>
          <w:u w:val="single"/>
        </w:rPr>
      </w:pPr>
      <w:r>
        <w:rPr>
          <w:b/>
          <w:bCs/>
          <w:i/>
          <w:u w:val="single"/>
        </w:rPr>
        <w:t xml:space="preserve">Farby </w:t>
      </w:r>
    </w:p>
    <w:p w:rsidR="00347F7D" w:rsidRDefault="00347F7D" w:rsidP="000941A5">
      <w:pPr>
        <w:pStyle w:val="Styl1"/>
      </w:pPr>
      <w:r>
        <w:t>Farba winna spełniać wymagania PN-EN 1871 oraz Warunków Technicznych – POD-97 i powinna charakteryzować się następującymi parametrami:</w:t>
      </w:r>
    </w:p>
    <w:p w:rsidR="00347F7D" w:rsidRDefault="00347F7D" w:rsidP="000941A5">
      <w:pPr>
        <w:pStyle w:val="Styl1"/>
        <w:numPr>
          <w:ilvl w:val="0"/>
          <w:numId w:val="2"/>
        </w:numPr>
      </w:pPr>
      <w:r>
        <w:rPr>
          <w:b/>
          <w:i/>
        </w:rPr>
        <w:t>Zawartość składników lotnych</w:t>
      </w:r>
      <w:r>
        <w:t>.</w:t>
      </w:r>
    </w:p>
    <w:p w:rsidR="00347F7D" w:rsidRDefault="00347F7D" w:rsidP="000941A5">
      <w:pPr>
        <w:pStyle w:val="Styl1"/>
      </w:pPr>
      <w:r>
        <w:t xml:space="preserve"> Zawartość składników lotnych (rozpuszczalników organicznych) w materiałach do znakowania cienkowarstwowego nie może przekraczać 25% (m/m). Nie dopuszcza się stosowania materiałów zawierających rozpuszczalnik aromatyczny (jak np. toluen, ksylen, etylobenzen) w ilości większej niż 8%. Nie dopuszcza się stosowania materiałów zawierających benzen i rozpuszczalniki chlorowane.</w:t>
      </w:r>
    </w:p>
    <w:p w:rsidR="00347F7D" w:rsidRDefault="00347F7D" w:rsidP="000941A5">
      <w:pPr>
        <w:pStyle w:val="Styl1"/>
        <w:numPr>
          <w:ilvl w:val="0"/>
          <w:numId w:val="2"/>
        </w:numPr>
        <w:rPr>
          <w:b/>
          <w:i/>
        </w:rPr>
      </w:pPr>
      <w:r>
        <w:rPr>
          <w:b/>
          <w:i/>
        </w:rPr>
        <w:t xml:space="preserve">Czas schnięcia. </w:t>
      </w:r>
    </w:p>
    <w:p w:rsidR="00347F7D" w:rsidRDefault="00347F7D" w:rsidP="000941A5">
      <w:pPr>
        <w:pStyle w:val="Styl1"/>
      </w:pPr>
      <w:r>
        <w:lastRenderedPageBreak/>
        <w:t>Za czas schnięcia przyjmuje się czas upływający między wykonaniem oznakowania a możliwością jego oddania do ruchu. Czas schnięcia nie może przekraczać czasu gwarantowanego przez producenta, jednak nie może być dłuższy jak 2 godziny.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2.2.2. Materiały do znakowania grubowarstwowego</w:t>
      </w:r>
    </w:p>
    <w:p w:rsidR="00347F7D" w:rsidRDefault="00347F7D" w:rsidP="000941A5">
      <w:pPr>
        <w:pStyle w:val="Styl1"/>
        <w:jc w:val="left"/>
      </w:pPr>
      <w:r>
        <w:t>Materiałami do znakowania grubowarstwowego powinny być materiały umożliwiające nakładanie ich warstwą grubości 3 mm ( strukturalne 5 mm), jak masy chemoutwardzalne oraz materiały prefabrykowane łączone z powierzchnią drogi poprzez wtapianie.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i/>
          <w:u w:val="single"/>
        </w:rPr>
        <w:t>Masy chemoutwardzalne</w:t>
      </w:r>
      <w:r>
        <w:t xml:space="preserve"> powinny być substancjami jedno-, dwu- lub trójskładnikowymi, mieszanymi ze sobą w proporcjach ustalonych przez producenta i nakładanymi na nawierzchnię z użyciem odpowiedniego sprzętu. Masy te powinny tworzyć powłokę, której spójność zapewnia jedynie reakcja chemiczna</w:t>
      </w:r>
    </w:p>
    <w:p w:rsidR="00347F7D" w:rsidRDefault="00347F7D" w:rsidP="000941A5">
      <w:pPr>
        <w:pStyle w:val="Styl1"/>
      </w:pPr>
      <w:r>
        <w:t>Na liniach krawędziowych należy stosować oznakowanie grubowarstwowe strukturalne dające podczas najechania na linię powstanie efektu akustycznego, ostrzegające kierowcę, że zjechał poza pas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grubowarstwowego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b/>
          <w:i/>
          <w:u w:val="single"/>
        </w:rPr>
        <w:t>Taśmy prefabrykowane</w:t>
      </w:r>
      <w:r>
        <w:t xml:space="preserve"> materiały wg PN-EN 1790,</w:t>
      </w:r>
      <w:r>
        <w:rPr>
          <w:rFonts w:cs="Arial"/>
          <w:spacing w:val="-3"/>
        </w:rPr>
        <w:t xml:space="preserve"> </w:t>
      </w:r>
      <w:r>
        <w:t>o wzmocnionej warstwie powierzchniowej koloru białego.</w:t>
      </w:r>
    </w:p>
    <w:p w:rsidR="00347F7D" w:rsidRDefault="00347F7D" w:rsidP="000941A5">
      <w:pPr>
        <w:pStyle w:val="Styl1"/>
      </w:pPr>
      <w:r>
        <w:t xml:space="preserve">Muszą posiadać profilowaną wierzchnią powierzchnię  (światła rowków pomiędzy wzniesieniami nie mogą być wypełnione </w:t>
      </w:r>
      <w:proofErr w:type="spellStart"/>
      <w:r>
        <w:t>mikrokulkami</w:t>
      </w:r>
      <w:proofErr w:type="spellEnd"/>
      <w:r>
        <w:t xml:space="preserve"> ani innymi cząstkami tworzącymi strukturę taśmy).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taśm prefabrykowanych i wykonanych z nich elementów prefabrykowanych określają aprobaty techniczne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2.2.3. Kulki szklane</w:t>
      </w:r>
    </w:p>
    <w:p w:rsidR="00347F7D" w:rsidRDefault="00347F7D" w:rsidP="000941A5">
      <w:pPr>
        <w:pStyle w:val="Styl1"/>
      </w:pPr>
      <w:r>
        <w:t xml:space="preserve">Materiał ten powinien zapewniać widzialność w nocy poprzez odbicie powrotne w kierunku pojazdu wiązki światła wysyłanej przez reflektory pojazdu. Kulki szklane powinny charakteryzować się współczynnikiem załamania powyżej 1,50, wykazywać odporność na wodę, kwas solny, chlorek wapniowy i siarczek sodowy oraz zawierać nie więcej niż 20% kulek z defektami w przypadku kulek o maksymalnej średnicy poniżej 1 mm oraz 30 % w przypadku kulek o maksymalnej średnicy równej i większej niż 1 mm. </w:t>
      </w:r>
    </w:p>
    <w:p w:rsidR="00347F7D" w:rsidRDefault="00347F7D" w:rsidP="000941A5">
      <w:pPr>
        <w:pStyle w:val="Styl1"/>
      </w:pPr>
      <w:r>
        <w:t>Wymagania i metody badań kulek szklanych podano w PN-EN 1423:2000</w:t>
      </w:r>
    </w:p>
    <w:p w:rsidR="000941A5" w:rsidRDefault="000941A5" w:rsidP="000941A5">
      <w:pPr>
        <w:pStyle w:val="Styl1"/>
      </w:pPr>
    </w:p>
    <w:p w:rsidR="00347F7D" w:rsidRDefault="00347F7D" w:rsidP="000941A5">
      <w:pPr>
        <w:numPr>
          <w:ilvl w:val="12"/>
          <w:numId w:val="0"/>
        </w:num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2.2.4. Punktowe elementy odblaskowe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Punktowym elementem odblaskowym powinna być naklejana, kotwiczona lub wbudowana w nawierzchnię płytka z materiału wytrzymującego przejazdy pojazdów samochodowych, zawierająca element odblaskowy umieszczony w ten sposób, aby zapewniał widzialność w nocy, a także w czasie opadów deszczu wg PN-EN 1463-1:2000 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Odbłyśnik, będący częścią punktowego elementu odblaskowego może być: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szklany lub plastikowy w całości lub z dodatkową warstwą odbijającą znajdującą się na powierzchni nie wystawionej na zewnątrz i nie narażoną na przejeżdżanie pojazdów,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plastikowy z warstwą zabezpieczającą przed ścieraniem, który może mieć warstwę odbijającą tylko w miejscu nie wystawionym na ruch i w którym powierzchnie wystawione na ruch są zabezpieczone warstwami odpornymi na ścieranie.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Profil punktowego elementu odblaskowego nie powinien mieć żadnych ostrych krawędzi od strony najeżdżanej przez pojazdy. Jeśli punktowy element odblaskowy jest wykonany z dwu lub więcej części, każda z nich powinna być usuwalna tylko za pomocą narzędzi polecanych przez producenta. Wysokość punktowego elementu nie może być większa od 25 mm. Barwa, w przypadku oznakowania trwałego, powinna być biała lub czerwona, zgodnie z załącznikiem nr 2 do rozporządzenia Ministra Infrastruktury . 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Właściwości i wymagania dotyczące punktowych elementów odblaskowych określone są w normie zharmonizowanej  i odpowiednich  aprobatach technicznych.</w:t>
      </w:r>
    </w:p>
    <w:p w:rsidR="00347F7D" w:rsidRDefault="00347F7D" w:rsidP="000941A5">
      <w:pPr>
        <w:pStyle w:val="Styl1"/>
        <w:rPr>
          <w:rFonts w:cs="Arial"/>
          <w:szCs w:val="20"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Kontrola jakości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Wykonawca, jako odpowiedzialny za prawidłowe zamówienie i jakość stosowanych materiałów, prowadzi na swój koszt kontrolę ilościową i jakościową. Inżynier ma prawo dokonywać kontroli jakości materiałów.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Warunki składowania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nawierzchni powinny zachowywać stałość swoich właściwości chemicznych i fizykochemicznych co najmniej w okresie 6 miesięcy składowania w warunkach określonych przez producenta.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dróg należy przechowywać w magazynach odpowiadających zaleceniom producenta, zabezpieczających je od napromieniowania słonecznego, opadów i w temperaturze: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rozpuszczalnikowych od -5°C </w:t>
      </w:r>
      <w:r>
        <w:sym w:font="Symbol" w:char="F0B8"/>
      </w:r>
      <w:r>
        <w:t xml:space="preserve"> 25°C,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wodorozcieńczalnych od 5°C </w:t>
      </w:r>
      <w:r>
        <w:sym w:font="Symbol" w:char="F0B8"/>
      </w:r>
      <w:r>
        <w:t xml:space="preserve"> 40°C,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dla pozostałych materiałów - poniżej 40°C.</w:t>
      </w:r>
    </w:p>
    <w:p w:rsidR="00347F7D" w:rsidRDefault="00347F7D" w:rsidP="000941A5">
      <w:pPr>
        <w:pStyle w:val="Styl1"/>
      </w:pPr>
      <w:r>
        <w:t>w opakowaniach handlowych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SPRZĘT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Ogólne wymagania dotyczące sprzętu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Ogólne wymagania dotyczące sprzętu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Sprzęt do wykonania oznakowania poziomego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Znakowanie podłużne musi być wykonywane wyłącznie sprzętem mechanicznym.</w:t>
      </w:r>
    </w:p>
    <w:p w:rsidR="00347F7D" w:rsidRDefault="00347F7D" w:rsidP="000941A5">
      <w:pPr>
        <w:pStyle w:val="Styl1"/>
      </w:pPr>
      <w:r>
        <w:t>Znakowanie poprzeczne może być wykonywane przy użyciu szablonów.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Sprzęt musi być zintegrowany z systemem zmechanizowanego posypywania </w:t>
      </w:r>
      <w:proofErr w:type="spellStart"/>
      <w:r>
        <w:t>mikrokulkami</w:t>
      </w:r>
      <w:proofErr w:type="spellEnd"/>
      <w:r>
        <w:t xml:space="preserve"> szklanymi. Zestaw sprzętu powinien posiadać możliwość regulacji wydajności nanoszonych materiałów oraz gwarantować równomierność ich podawania.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Do wykonania znakowania poziomego należy stosować następujący sprzęt, zaakceptowany przez Inżyniera: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szczotki mechaniczne i ręczne,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sprężarki,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malowarki</w:t>
      </w:r>
      <w:proofErr w:type="spellEnd"/>
      <w:r>
        <w:t xml:space="preserve"> automatyczne,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układarki mas chemoutwardzalnych oraz taśm prefabrykowanych,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pistolet ręczny, wałek lub szczotka,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sprzęt do usunięcia istniejącego oznakowania.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TRANSPORT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Ogólne wymagania dotyczące transportu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Ogólne wymagania dotyczące transportu podano w ST D.00.00.00 „Wymagania ogólne”. 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Transport materiałów do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oznakowania poziomego dróg należy przewozić w opakowaniach zapewniających szczelność, bezpieczny transport i zachowanie wymaganych właściwości materiałów. Pojemniki powinny być oznakowane zgodnie z normą PN-O-79252.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Farby rozpuszczalnikowe, rozpuszczalniki palne oraz farby i masy chemoutwardzalne należy transportować zgodnie z postanowieniami umowy międzynarodowej dla transportu drogowego materiałów palnych, klasy 3, oraz szczegółowymi zaleceniami zawartymi w karcie charakterystyki wyrobu sporządzonej przez producenta. Wyroby, wyżej wymienione, nie posiadające karty charakterystyki nie powinny być dopuszczone do transportu.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Pozostałe materiały do znakowania poziomego należy przewozić krytymi środkami transportowymi, chroniąc opakowania przed uszkodzeniem mechanicznym, zgodnie z PN-C-81400 oraz zgodnie z prawem przewozowym.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WYKONANIE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Ogólne zasady wykonania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wykonania robót podano w ST D.00.00.00 „Wymagania ogólne”.</w:t>
      </w:r>
    </w:p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Zakres wykonania robót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5.2.1. Przygotowanie podłoża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Przed wykonaniem znakowania poziomego należy oczyścić powierzchnię nawierzchni malowanej z pyłu, kurzu, piasku, smarów, olejów i innych zanieczyszczeń, przy użyciu sprzętu wymienionego w SST i zaakceptowanego przez Inżyniera.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Powierzchnia nawierzchni przygotowana do wykonania oznakowania poziomego musi być czysta i sucha.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5.2.2. Warunki atmosferyczne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Wykonawca może rozpocząć roboty po stwierdzeniu, że warunki atmosferyczne w czasie wykonywania robót będą zgodne z warunkami określonymi dla odpowiedniego rodzaju materiału użytego  do malowania. Temperatura powierzchni malowane i powietrza powinna wynosić co najmniej 5</w:t>
      </w:r>
      <w:r>
        <w:rPr>
          <w:rFonts w:cs="Arial"/>
          <w:bCs/>
        </w:rPr>
        <w:t>°</w:t>
      </w:r>
      <w:r>
        <w:rPr>
          <w:bCs/>
        </w:rPr>
        <w:t>C, a wilgotność względna powietrza powinna być mniejsza od 85%.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5.2.3. </w:t>
      </w:r>
      <w:proofErr w:type="spellStart"/>
      <w:r>
        <w:rPr>
          <w:bCs/>
        </w:rPr>
        <w:t>Przedznakowanie</w:t>
      </w:r>
      <w:proofErr w:type="spellEnd"/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Przed przystąpieniem do wykonania oznakowania poziomego należy wykonać </w:t>
      </w:r>
      <w:proofErr w:type="spellStart"/>
      <w:r>
        <w:rPr>
          <w:bCs/>
        </w:rPr>
        <w:t>przedznakowanie</w:t>
      </w:r>
      <w:proofErr w:type="spellEnd"/>
      <w:r>
        <w:rPr>
          <w:bCs/>
        </w:rPr>
        <w:t>, zgodnie Dokumentacją Projektową i wskazaniami Inżyniera.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Do wykonania </w:t>
      </w:r>
      <w:proofErr w:type="spellStart"/>
      <w:r>
        <w:t>przedznakowania</w:t>
      </w:r>
      <w:proofErr w:type="spellEnd"/>
      <w:r>
        <w:t xml:space="preserve"> można stosować nietrwałą farbę, np. farbę silnie rozcieńczoną rozpuszczalnikiem. Zaleca się wykonywanie </w:t>
      </w:r>
      <w:proofErr w:type="spellStart"/>
      <w:r>
        <w:t>przedznakowania</w:t>
      </w:r>
      <w:proofErr w:type="spellEnd"/>
      <w:r>
        <w:t xml:space="preserve"> w postaci cienkich linii lub kropek. Początek i koniec znakowania należy zaznaczyć małą kreską poprzeczną.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 Wykonanie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5.2.4.1. Wykonanie znakowania farbą </w:t>
      </w:r>
    </w:p>
    <w:p w:rsidR="00347F7D" w:rsidRDefault="00347F7D" w:rsidP="000941A5">
      <w:pPr>
        <w:pStyle w:val="Styl1"/>
      </w:pPr>
      <w:r>
        <w:t>Farbę do znakowania cienkowarstwowego należy po otwarciu opakowania wymieszać w czasie 2</w:t>
      </w:r>
      <w:r>
        <w:sym w:font="Symbol" w:char="F0B8"/>
      </w:r>
      <w:r>
        <w:t xml:space="preserve">4 min. Przed lub w czasie napełniania zbiornika </w:t>
      </w:r>
      <w:proofErr w:type="spellStart"/>
      <w:r>
        <w:t>malowarki</w:t>
      </w:r>
      <w:proofErr w:type="spellEnd"/>
      <w:r>
        <w:t xml:space="preserve"> zaleca się przecedzić farbę przez sito 0,6 mm. Nie wolno stosować do malowania mechanicznego farby, w której osad na dnie opakowania nie daję się całkowicie wymieszać lub na jej powierzchni znajduje się kożuch.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Farbę należy nakładać równomierną warstwą o grubości 0,6 mm (grubość na mokro bez kulek szklanych), zachowując wymiary i ostrość krawędzi. Grubość nanoszonej warstwy zaleca się kontrolować przy pomocy grzebienia pomiarowego na płytce szklanej lub metalowej podkładanej na drodze </w:t>
      </w:r>
      <w:proofErr w:type="spellStart"/>
      <w:r>
        <w:t>malowarki</w:t>
      </w:r>
      <w:proofErr w:type="spellEnd"/>
      <w:r>
        <w:t>. Ilość farby zużyta w czasie prac, określona przez średnie zużycie na metr kwadratowy nie może się różnić od ilości ustalonej, więcej niż o 20%.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Wszystkie prace powinny być wykonane przy użyciu samojezdnej </w:t>
      </w:r>
      <w:proofErr w:type="spellStart"/>
      <w:r>
        <w:t>malowarki</w:t>
      </w:r>
      <w:proofErr w:type="spellEnd"/>
      <w:r>
        <w:t xml:space="preserve"> </w:t>
      </w:r>
      <w:r>
        <w:br/>
        <w:t>z automatycznym podziałem linii i posypywaniem kulkami szklanymi. W przypadku mniejszych prac, wielkość, wydajność i jakość sprzętu należy dostosować do zakresu i rozmiaru robót. Decyzję dotyczącą rodzaju sprzętu i sposobu wykonanie znakowania podejmie Inżynier na wniosek Wykonawcy.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5.2.4.2. Wykonanie znakowania masą chemoutwardzalną</w:t>
      </w:r>
    </w:p>
    <w:p w:rsidR="00347F7D" w:rsidRDefault="00347F7D" w:rsidP="000941A5">
      <w:pPr>
        <w:pStyle w:val="Styl1"/>
      </w:pPr>
      <w:r>
        <w:t>Wykonanie oznakowania powinno być zgodne z zaleceniami producenta materiałów,</w:t>
      </w:r>
    </w:p>
    <w:p w:rsidR="00347F7D" w:rsidRDefault="00347F7D" w:rsidP="000941A5">
      <w:pPr>
        <w:pStyle w:val="Styl1"/>
      </w:pPr>
      <w:r>
        <w:t>W przypadku mas chemoutwardzalnych wszystkie prace (linie krawędziowe, segregacyjne) powinny być wykonywane przy użyciu urządzeń samojezdnych z automatycznym podziałem linii.</w:t>
      </w:r>
    </w:p>
    <w:p w:rsidR="00347F7D" w:rsidRDefault="00347F7D" w:rsidP="000941A5">
      <w:pPr>
        <w:pStyle w:val="Styl1"/>
      </w:pPr>
      <w:r>
        <w:rPr>
          <w:highlight w:val="green"/>
        </w:rPr>
        <w:t xml:space="preserve"> </w:t>
      </w:r>
    </w:p>
    <w:p w:rsidR="00347F7D" w:rsidRDefault="00347F7D" w:rsidP="000941A5">
      <w:pPr>
        <w:pStyle w:val="Styl1"/>
      </w:pPr>
      <w:r>
        <w:t xml:space="preserve">Masę nakłada się warstwą o grubości 3,0 mm, linie krawędziowe strukturalne grubości 5,0mm. </w:t>
      </w:r>
    </w:p>
    <w:p w:rsidR="00347F7D" w:rsidRDefault="00347F7D" w:rsidP="000941A5">
      <w:pPr>
        <w:pStyle w:val="Styl1"/>
      </w:pPr>
      <w:r>
        <w:lastRenderedPageBreak/>
        <w:t>Bezpośrednio po nałożeniu masy, w celu uzyskania odblaskowości w pierwszym miesiącu eksploatacji świeżą powłokę należy posypać mieszaniną odblaskową w ilości co najmniej 300 g/m</w:t>
      </w:r>
      <w:r>
        <w:rPr>
          <w:vertAlign w:val="superscript"/>
        </w:rPr>
        <w:t>2</w:t>
      </w:r>
      <w:r>
        <w:t xml:space="preserve">. Zalecane są </w:t>
      </w:r>
      <w:proofErr w:type="spellStart"/>
      <w:r>
        <w:t>mikrokule</w:t>
      </w:r>
      <w:proofErr w:type="spellEnd"/>
      <w:r>
        <w:t xml:space="preserve"> szklane refleksyjne 100 – 600 bez powłoki silikonowej spełniającej wymagania </w:t>
      </w:r>
      <w:r>
        <w:rPr>
          <w:i/>
        </w:rPr>
        <w:t>PN-EN 1423 oraz</w:t>
      </w:r>
      <w:r>
        <w:rPr>
          <w:i/>
          <w:color w:val="FF00FF"/>
        </w:rPr>
        <w:t xml:space="preserve"> </w:t>
      </w:r>
      <w:r>
        <w:t>POD-97.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5.2.4.3. Wykonanie znakowania materiałami prefabrykowanymi</w:t>
      </w:r>
    </w:p>
    <w:p w:rsidR="00347F7D" w:rsidRDefault="00347F7D" w:rsidP="000941A5">
      <w:pPr>
        <w:pStyle w:val="Styl1"/>
      </w:pPr>
      <w:r>
        <w:t xml:space="preserve">Wykonanie oznakowania powinno być zgodne z zaleceniami producenta materiałów, </w:t>
      </w:r>
      <w:r>
        <w:br/>
        <w:t xml:space="preserve">a w przypadku ich braku lub niepełnych danych – zgodnie z poniższymi wskazaniami. </w:t>
      </w:r>
      <w:r>
        <w:br/>
        <w:t>Wykonanie oznakowania poziomego taśmą prefabrykowaną należy wykonywać równocześnie z wykonywaniem warstwy ścieralnej nawierzchni.</w:t>
      </w:r>
    </w:p>
    <w:p w:rsidR="00347F7D" w:rsidRDefault="00347F7D" w:rsidP="000941A5">
      <w:pPr>
        <w:pStyle w:val="Styl1"/>
      </w:pPr>
      <w:r>
        <w:t>Taśma odblaskowa może być nanoszona na nawierzchnię poprzez: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wgniatanie w świeżo ułożoną warstwę ścieralną w temperaturze stygnięcia od 70</w:t>
      </w:r>
      <w:r>
        <w:sym w:font="Symbol" w:char="F0B0"/>
      </w:r>
      <w:r>
        <w:t>C do 30</w:t>
      </w:r>
      <w:r>
        <w:sym w:font="Symbol" w:char="F0B0"/>
      </w:r>
      <w:r>
        <w:t>C, przed ostatnim wałowaniem;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klejenie w przypadku braku odpowiednich warunków do wgniatania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5.2.4.4. Wykonanie oznakowania drogi punktowymi elementami odblaskowymi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oznakowania powinno być zgodne z zaleceniami producenta materiałów.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wykonywaniu oznakowania punktowymi elementami odblaskowymi należy zwracać szczególną uwagę na staranne mocowanie elementów do podłoża, od czego zależy trwałość wykonanego oznakowania.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wolno zmieniać ustalonego przez producenta rodzaju kleju z uwagi na możliwość uzyskania różnej jego przyczepności do nawierzchni i do materiałów, z których wykonano punktowe elementy odblaskowe.</w:t>
      </w:r>
    </w:p>
    <w:p w:rsidR="000941A5" w:rsidRDefault="000941A5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KONTROLA JAKOŚCI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Ogólne zasady kontroli jakości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kontroli jakości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 xml:space="preserve">Kontrola jakości materiałów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Materiały do poziomego oznakowania będą posiadać stosowne Aprobaty Techniczne i deklaracje zgodności 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Badania oznakowania poziomego</w:t>
      </w:r>
    </w:p>
    <w:p w:rsidR="00347F7D" w:rsidRDefault="00347F7D" w:rsidP="000941A5">
      <w:pPr>
        <w:pStyle w:val="Styl1"/>
        <w:rPr>
          <w:b/>
          <w:bCs/>
          <w:iCs/>
        </w:rPr>
      </w:pPr>
    </w:p>
    <w:p w:rsidR="00347F7D" w:rsidRDefault="00347F7D" w:rsidP="000941A5">
      <w:pPr>
        <w:pStyle w:val="Styl1"/>
        <w:rPr>
          <w:iCs/>
        </w:rPr>
      </w:pPr>
      <w:r>
        <w:rPr>
          <w:iCs/>
        </w:rPr>
        <w:t>Oznakowanie poziome powinno charakteryzować się: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dobrą widocznością w ciągu całej doby,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wysokim współczynnikiem odblaskowości, również w warunkach dużej wilgotności, np. podczas opadów deszczu,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zachowania minimalnych parametrów odblaskowości w całym okresie użytkowania,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odpowiednią szorstkością zbliżoną do szorstkości nawierzchni, na której jest umieszczone,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odpornością na ścieranie i zabrudzenie,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szybką metodą aplikacji, uwzględniającą również wymogi ekologiczne.</w:t>
      </w:r>
    </w:p>
    <w:p w:rsidR="00347F7D" w:rsidRDefault="00347F7D" w:rsidP="000941A5">
      <w:pPr>
        <w:pStyle w:val="Styl1"/>
        <w:rPr>
          <w:b/>
        </w:rPr>
      </w:pPr>
      <w:r>
        <w:rPr>
          <w:i/>
        </w:rPr>
        <w:t>Oznakowanie poziome powinno spełniać szczegółowe warunki techniczne (załącznik nr 2) do  Rozporządzenia Ministra Infrastruktury z dn. 03.07.2003 r. w sprawie szczegółowych warunków technicznych dla znaków i sygnałów drogowych oraz urządzeń bezpieczeństwa ruchu drogowego i warunków ich umieszczania na drogach (Dz. U. Nr 220, poz. 2181 z dn. 23.12.2003 r.)</w:t>
      </w:r>
    </w:p>
    <w:p w:rsidR="00347F7D" w:rsidRDefault="00347F7D" w:rsidP="000941A5">
      <w:pPr>
        <w:pStyle w:val="Styl1"/>
        <w:rPr>
          <w:vertAlign w:val="subscript"/>
        </w:rPr>
      </w:pPr>
    </w:p>
    <w:p w:rsidR="00347F7D" w:rsidRDefault="00347F7D" w:rsidP="000941A5">
      <w:pPr>
        <w:pStyle w:val="Styl1"/>
      </w:pPr>
      <w:r>
        <w:t>6.3.1. Widzialność w dzień</w:t>
      </w:r>
    </w:p>
    <w:p w:rsidR="00347F7D" w:rsidRDefault="00347F7D" w:rsidP="000941A5">
      <w:pPr>
        <w:pStyle w:val="Styl1"/>
      </w:pPr>
      <w:r>
        <w:t xml:space="preserve">Widzialność oznakowania w dzień jest określona współczynnikiem luminancji </w:t>
      </w:r>
      <w:r>
        <w:rPr>
          <w:rFonts w:cs="Arial"/>
        </w:rPr>
        <w:t>β</w:t>
      </w:r>
      <w:r>
        <w:t xml:space="preserve"> i barwą oznakowania.</w:t>
      </w:r>
    </w:p>
    <w:p w:rsidR="00347F7D" w:rsidRDefault="00347F7D" w:rsidP="000941A5">
      <w:pPr>
        <w:pStyle w:val="Styl1"/>
      </w:pPr>
      <w:r>
        <w:t xml:space="preserve">Pomiar współczynnika luminancji </w:t>
      </w:r>
      <w:r>
        <w:sym w:font="Symbol" w:char="0062"/>
      </w:r>
      <w:r>
        <w:t xml:space="preserve"> powinien być określony wg PN-EN 1436 oraz POD-97.</w:t>
      </w:r>
    </w:p>
    <w:p w:rsidR="00347F7D" w:rsidRDefault="00347F7D" w:rsidP="000941A5">
      <w:pPr>
        <w:pStyle w:val="Styl1"/>
      </w:pPr>
      <w:r>
        <w:t>Barwa oznakowania powinna być określona wg PN-EN 1436 przez współrzędne chromatyczności x i y, które dla suchego oznakowania powinny leżeć w obszarze zdefiniowanym przez cztery punkty narożne:</w:t>
      </w:r>
    </w:p>
    <w:p w:rsidR="00347F7D" w:rsidRDefault="00347F7D" w:rsidP="000941A5">
      <w:pPr>
        <w:pStyle w:val="Styl1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062"/>
        <w:gridCol w:w="1062"/>
        <w:gridCol w:w="1062"/>
        <w:gridCol w:w="1062"/>
        <w:gridCol w:w="1062"/>
      </w:tblGrid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Punkt narożny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1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2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3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4</w:t>
            </w:r>
          </w:p>
        </w:tc>
      </w:tr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Oznakowanie białe: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x</w:t>
            </w:r>
          </w:p>
          <w:p w:rsidR="00347F7D" w:rsidRDefault="00347F7D" w:rsidP="000941A5">
            <w:pPr>
              <w:pStyle w:val="Styl1"/>
            </w:pPr>
            <w:r>
              <w:t>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0,355</w:t>
            </w:r>
          </w:p>
          <w:p w:rsidR="00347F7D" w:rsidRDefault="00347F7D" w:rsidP="000941A5">
            <w:pPr>
              <w:pStyle w:val="Styl1"/>
            </w:pPr>
            <w:r>
              <w:t>0,355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0,305</w:t>
            </w:r>
          </w:p>
          <w:p w:rsidR="00347F7D" w:rsidRDefault="00347F7D" w:rsidP="000941A5">
            <w:pPr>
              <w:pStyle w:val="Styl1"/>
            </w:pPr>
            <w:r>
              <w:t>0,305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0,285</w:t>
            </w:r>
          </w:p>
          <w:p w:rsidR="00347F7D" w:rsidRDefault="00347F7D" w:rsidP="000941A5">
            <w:pPr>
              <w:pStyle w:val="Styl1"/>
            </w:pPr>
            <w:r>
              <w:t>0,325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0,335</w:t>
            </w:r>
          </w:p>
          <w:p w:rsidR="00347F7D" w:rsidRDefault="00347F7D" w:rsidP="000941A5">
            <w:pPr>
              <w:pStyle w:val="Styl1"/>
            </w:pPr>
            <w:r>
              <w:t>0,375</w:t>
            </w:r>
          </w:p>
        </w:tc>
      </w:tr>
    </w:tbl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Pomiar współczynnika luminancji </w:t>
      </w:r>
      <w:r>
        <w:sym w:font="Symbol" w:char="0062"/>
      </w:r>
      <w:r>
        <w:t xml:space="preserve"> może być zastąpiony pomiarem współczynnika luminancji w świetle rozproszonym </w:t>
      </w:r>
      <w:proofErr w:type="spellStart"/>
      <w:r>
        <w:t>Qd</w:t>
      </w:r>
      <w:proofErr w:type="spellEnd"/>
      <w:r>
        <w:t>, wg PN-EN 1436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Do określenia odbicia światła dziennego lub odbicia oświetlenia drogi od oznakowania stosuje się współczynnik luminancji w świetle rozproszonym </w:t>
      </w:r>
      <w:proofErr w:type="spellStart"/>
      <w:r>
        <w:t>Qd</w:t>
      </w:r>
      <w:proofErr w:type="spellEnd"/>
      <w:r>
        <w:t xml:space="preserve">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ind w:left="4248"/>
        <w:rPr>
          <w:sz w:val="24"/>
          <w:lang w:val="de-DE"/>
        </w:rPr>
      </w:pPr>
      <w:proofErr w:type="spellStart"/>
      <w:r>
        <w:rPr>
          <w:sz w:val="24"/>
          <w:lang w:val="de-DE"/>
        </w:rPr>
        <w:t>Q</w:t>
      </w:r>
      <w:r>
        <w:rPr>
          <w:sz w:val="24"/>
          <w:vertAlign w:val="subscript"/>
          <w:lang w:val="de-DE"/>
        </w:rPr>
        <w:t>d</w:t>
      </w:r>
      <w:proofErr w:type="spellEnd"/>
      <w:r>
        <w:rPr>
          <w:sz w:val="24"/>
          <w:lang w:val="de-DE"/>
        </w:rPr>
        <w:t xml:space="preserve"> = L/E, </w:t>
      </w:r>
    </w:p>
    <w:p w:rsidR="00347F7D" w:rsidRDefault="00347F7D" w:rsidP="000941A5">
      <w:pPr>
        <w:pStyle w:val="Styl1"/>
      </w:pPr>
      <w:r>
        <w:t>gdzie:</w:t>
      </w:r>
    </w:p>
    <w:p w:rsidR="00347F7D" w:rsidRDefault="00347F7D" w:rsidP="000941A5">
      <w:pPr>
        <w:pStyle w:val="Styl1"/>
      </w:pPr>
      <w:proofErr w:type="spellStart"/>
      <w:r>
        <w:t>Q</w:t>
      </w:r>
      <w:r>
        <w:rPr>
          <w:vertAlign w:val="subscript"/>
        </w:rPr>
        <w:t>d</w:t>
      </w:r>
      <w:proofErr w:type="spellEnd"/>
      <w:r>
        <w:t xml:space="preserve"> - współczynnik luminancji w świetle rozproszonym,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347F7D" w:rsidRDefault="00347F7D" w:rsidP="000941A5">
      <w:pPr>
        <w:pStyle w:val="Styl1"/>
      </w:pPr>
      <w:r>
        <w:t>L - luminancja pola w świetle rozproszonym, mcd/m</w:t>
      </w:r>
      <w:r>
        <w:rPr>
          <w:vertAlign w:val="superscript"/>
        </w:rPr>
        <w:t>2</w:t>
      </w:r>
      <w:r>
        <w:t>,</w:t>
      </w:r>
    </w:p>
    <w:p w:rsidR="00347F7D" w:rsidRDefault="00347F7D" w:rsidP="000941A5">
      <w:pPr>
        <w:pStyle w:val="Styl1"/>
      </w:pPr>
      <w:r>
        <w:t>E - oświetlenie płaszczyzny pola, lx.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dla oznakowania nowego w ciągu 14 - 30 dni po wykonaniu powinna wynosić dla oznakowania świeżego: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130 mcd m-2 lx-1  (nawierzchnie asfaltowe)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powinna wynosić dla oznakowania eksploatowanego po 30 dniu od wykonania, w ciągu całego okresu użytkowania: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100 mcd m-2 lx-1  (nawierzchnie asfaltowe)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farb i mas powinna wynosić dla oznakowania świeżego(od 14 do 30 dnia po wykonaniu):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0,40 (klasa B3).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taśm prefabrykowanych: co najmniej 0,60 (klasa B5) 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0062"/>
      </w:r>
      <w:r>
        <w:t xml:space="preserve"> powinna wynosić po 30 dniu od wykonania dla całego okresu użytkowania oznakowania,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 co najmniej 0,30 (klasa B2).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6.3.2. Widzialność w nocy</w:t>
      </w:r>
    </w:p>
    <w:p w:rsidR="00347F7D" w:rsidRDefault="00347F7D" w:rsidP="000941A5">
      <w:pPr>
        <w:pStyle w:val="Styl1"/>
      </w:pPr>
      <w:r>
        <w:t>Za miarę widzialności w nocy przyjęto powierzchniowy współczynnik odblasku R</w:t>
      </w:r>
      <w:r>
        <w:rPr>
          <w:vertAlign w:val="subscript"/>
        </w:rPr>
        <w:t>L</w:t>
      </w:r>
      <w:r>
        <w:t>, określany wg PN-EN 1436 z uwzględnieniem podziału na klasy.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nowego (w ciągu 14-30 dni po wykonaniu) w stanie suchym,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ruchu&gt; 2 500 pojazdów rzeczywistych na dobę na pas, co najmniej  &gt; 300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taśm prefabrykowanych, &gt; 250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mas chemoutwardzalnych, klasa R5,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w ciągu od 2 do 6 miesięcy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R3,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od 7 miesiąca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>, klasa R4 dla taśm prefabrykowanych, co najmniej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 150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, klasa R3 dla mas chemoutwardzalnych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R2,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profilowanego, nowego (w stanie wilgotnym) i eksploatowanego w okresie gwarancji wg PN-EN 1436, zmierzona od 14 do 30 dni po wykonaniu, barwy białej: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nowego co najmniej 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RW3,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 okresie eksploatacji co najmniej 35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RW2.</w:t>
      </w:r>
    </w:p>
    <w:p w:rsidR="00347F7D" w:rsidRDefault="00347F7D" w:rsidP="000941A5">
      <w:pPr>
        <w:pStyle w:val="Styl1"/>
        <w:ind w:left="349"/>
      </w:pPr>
    </w:p>
    <w:p w:rsidR="00347F7D" w:rsidRDefault="00347F7D" w:rsidP="000941A5">
      <w:pPr>
        <w:pStyle w:val="Styl1"/>
      </w:pPr>
      <w:r>
        <w:lastRenderedPageBreak/>
        <w:t xml:space="preserve">Powyższe wymaganie dotyczy jedynie </w:t>
      </w:r>
      <w:proofErr w:type="spellStart"/>
      <w:r>
        <w:t>oznakowań</w:t>
      </w:r>
      <w:proofErr w:type="spellEnd"/>
      <w:r>
        <w:t xml:space="preserve"> profilowanych, takich jak oznakowanie strukturalne wykonywane masami termoplastycznymi w postaci np. poprzecznych </w:t>
      </w:r>
      <w:proofErr w:type="spellStart"/>
      <w:r>
        <w:t>wygarbień</w:t>
      </w:r>
      <w:proofErr w:type="spellEnd"/>
      <w:r>
        <w:t xml:space="preserve"> (baretek), drop-on-</w:t>
      </w:r>
      <w:proofErr w:type="spellStart"/>
      <w:r>
        <w:t>line</w:t>
      </w:r>
      <w:proofErr w:type="spellEnd"/>
      <w:r>
        <w:t xml:space="preserve"> itp.</w:t>
      </w:r>
    </w:p>
    <w:p w:rsidR="00347F7D" w:rsidRDefault="00347F7D" w:rsidP="000941A5">
      <w:pPr>
        <w:pStyle w:val="Styl1"/>
      </w:pPr>
      <w:r>
        <w:t xml:space="preserve">Wykonywanie pomiarów na oznakowaniu ciągłym z naniesionymi </w:t>
      </w:r>
      <w:proofErr w:type="spellStart"/>
      <w:r>
        <w:t>wygarbieniami</w:t>
      </w:r>
      <w:proofErr w:type="spellEnd"/>
      <w:r>
        <w:t xml:space="preserve"> może być wykonywane tylko metodą dynamiczną. Pomiar aparatami ręcznymi jest albo niemożliwy albo obciążony dużym błędem.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Wykonywanie pomiarów odblaskowości na pozostałych typach oznakowania strukturalnego z uwagi na  jego niecałkowite i niejednorodne pokrycie powierzchni oznakowania, jest obarczone większym błędem niż na </w:t>
      </w:r>
      <w:proofErr w:type="spellStart"/>
      <w:r>
        <w:t>oznakowaniach</w:t>
      </w:r>
      <w:proofErr w:type="spellEnd"/>
      <w:r>
        <w:t xml:space="preserve"> pełnych. Dlatego podczas odbioru czy kontroli, należy przyjąć jako dopuszczalne wartości współczynnika odblasku o 20% niższe od przyjętych w ST.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6.3.3. Szorstkość oznakowania</w:t>
      </w:r>
    </w:p>
    <w:p w:rsidR="00347F7D" w:rsidRDefault="00347F7D" w:rsidP="000941A5">
      <w:pPr>
        <w:pStyle w:val="Styl1"/>
      </w:pPr>
      <w:r>
        <w:t>Miarą szorstkości oznakowania jest wartość wskaźnika szorstkości SRT (</w:t>
      </w:r>
      <w:proofErr w:type="spellStart"/>
      <w:r>
        <w:t>Skid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Tester) mierzona wahadłem angielskim, wg PN-EN 1436:2000 lub POD-97. Wartość SRT symuluje warunki, w których pojazd wyposażony w typowe opony hamuje z blokadą kół przy prędkości 50 km/h na mokrej  nawierzchni.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Wymaga się, aby wartość wskaźnika szorstkości SRT wynosiła na oznakowaniu: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świeżym, co najmniej 50 jednostek SRT,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używanym, w ciągu całego okresu użytkowania, co najmniej 45 jednostek SRT.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6.3.4. Trwałość oznakowania</w:t>
      </w:r>
    </w:p>
    <w:p w:rsidR="00347F7D" w:rsidRDefault="00347F7D" w:rsidP="000941A5">
      <w:pPr>
        <w:pStyle w:val="Styl1"/>
      </w:pPr>
      <w:r>
        <w:t>Trwałość oznakowania oceniana jako stopień zużycia w 10-stopniowej skali LCPC określonej w   POD-97 powinna wynosić po 12-miesięcznym okresie eksploatacji oznakowania co najmniej 6.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Trwałości oznakowania należy liczyć od czasu odebrania przez Inżyniera.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6.3.5. Czas schnięcia oznakowania (wzgl. czas przejezdności oznakowania)</w:t>
      </w:r>
    </w:p>
    <w:p w:rsidR="00347F7D" w:rsidRDefault="00347F7D" w:rsidP="000941A5">
      <w:pPr>
        <w:pStyle w:val="Styl1"/>
      </w:pPr>
      <w:r>
        <w:t>Za czas schnięcia oznakowania przyjmuje się czas upływający między wykonaniem oznakowania a jego oddaniem do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Czas schnięcia oznakowania nie powinien przekraczać czasu gwarantowanego przez producenta, z tym że nie może przekraczać 2 godzin </w:t>
      </w:r>
      <w:proofErr w:type="spellStart"/>
      <w:r>
        <w:t>wymalowań</w:t>
      </w:r>
      <w:proofErr w:type="spellEnd"/>
      <w:r>
        <w:t xml:space="preserve"> nocnych i 1 godziny w przypadku </w:t>
      </w:r>
      <w:proofErr w:type="spellStart"/>
      <w:r>
        <w:t>wymalowań</w:t>
      </w:r>
      <w:proofErr w:type="spellEnd"/>
      <w:r>
        <w:t xml:space="preserve"> dziennych.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Metoda oznaczenia czasu schnięcia musi być zgodna z POD-97.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6.3.6. Grubość oznakowania</w:t>
      </w:r>
    </w:p>
    <w:p w:rsidR="00347F7D" w:rsidRDefault="00347F7D" w:rsidP="000941A5">
      <w:pPr>
        <w:pStyle w:val="Styl1"/>
      </w:pPr>
      <w:r>
        <w:t>Grubość oznakowania, tj. podwyższenie ponad górną powierzchnię nawierzchni, powinna wynosić dla: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grubowarstwowego ( 3,0 mm, dla strukturalnego – 5 mm)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cienkowarstwowego (grubość na mokro bez kulek szklanych) 0.6 mm,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6.3.7. Badania wykonania znakowania poziomego z materiału grubowarstwowego i cienkowarstwowego</w:t>
      </w:r>
    </w:p>
    <w:p w:rsidR="00347F7D" w:rsidRDefault="00347F7D" w:rsidP="000941A5">
      <w:pPr>
        <w:pStyle w:val="Styl1"/>
      </w:pPr>
      <w:r>
        <w:t>Wykonawca wykonując znakowanie poziome z materiału grubowarstwowego i cienkowarstwowego przeprowadza przed rozpoczęciem każdej pracy oraz w czasie jej wykonywania, co najmniej raz dziennie, lub zgodnie z ustaleniem ST, następujące badania:</w:t>
      </w:r>
    </w:p>
    <w:p w:rsidR="00347F7D" w:rsidRDefault="00347F7D" w:rsidP="000941A5">
      <w:pPr>
        <w:pStyle w:val="Styl1"/>
        <w:numPr>
          <w:ilvl w:val="0"/>
          <w:numId w:val="5"/>
        </w:numPr>
      </w:pPr>
      <w:r>
        <w:t>przed rozpoczęciem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 materiału, w zakresie jego jednorodności i widocznych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wilgotności względnej powietrza,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badanie lepkości farby (cienkowarstwowej), wg POD-97,</w:t>
      </w:r>
    </w:p>
    <w:p w:rsidR="00347F7D" w:rsidRDefault="00347F7D" w:rsidP="000941A5">
      <w:pPr>
        <w:pStyle w:val="Styl1"/>
        <w:numPr>
          <w:ilvl w:val="1"/>
          <w:numId w:val="3"/>
        </w:numPr>
      </w:pPr>
      <w:r>
        <w:t>w czasie wykonywania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grubości warstwy oznakowania,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czasu schnięcia, wg POD-97,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rozłożenia kulek szklanych,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  <w:rPr>
          <w:strike/>
        </w:rPr>
      </w:pPr>
      <w:r w:rsidRPr="00866026">
        <w:t>pom</w:t>
      </w:r>
      <w:r>
        <w:t xml:space="preserve">iar poziomych wymiarów oznakowania, na zgodność z dokumentacją projektową i Rozporządzeniem Ministra Infrastruktury z dn. 03.07.2003 r. w sprawie szczegółowych warunków technicznych dla znaków i sygnałów drogowych oraz urządzeń bezpieczeństwa </w:t>
      </w:r>
      <w:r>
        <w:lastRenderedPageBreak/>
        <w:t>ruchu drogowego i warunków ich umieszczania na drogach (Dz. U. Nr 220, poz. 2181 z dn. 23.12.2003 r.),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skropienia (rozłożenia materiału) na całej szerokości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oznaczenia czasu przejezdności, wg POD-97.</w:t>
      </w:r>
    </w:p>
    <w:p w:rsidR="00347F7D" w:rsidRDefault="00347F7D" w:rsidP="000941A5">
      <w:pPr>
        <w:pStyle w:val="Styl1"/>
      </w:pPr>
      <w:r>
        <w:t xml:space="preserve">Po wykonaniu oznakowania Wykonawca przedstawi Inżynierowi wyniki badań o których mowa w </w:t>
      </w:r>
    </w:p>
    <w:p w:rsidR="00347F7D" w:rsidRDefault="00347F7D" w:rsidP="000941A5">
      <w:pPr>
        <w:pStyle w:val="Styl1"/>
      </w:pPr>
      <w:r>
        <w:t>pkt. 6.3.</w:t>
      </w:r>
      <w:r>
        <w:tab/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Tekstpodstawowywcity3"/>
        <w:spacing w:before="0"/>
      </w:pPr>
      <w:r>
        <w:t>6.3.8. Badania wykonania oznakowania poziomego z zastosowaniem punktowych elementów odblaskowych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wykonując oznakowanie z prefabrykowanych elementów odblaskowych przeprowadza, co najmniej raz dziennie lub zgodnie z ustaleniem SST, następujące badania: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rodzaju stosowanego kleju lub innych elementów mocujących, zgodnie z zaleceniami SST,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elementów, w zakresie ich kompletności i braku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pomiaru czasu oddania do ruchu,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liniowości i kierunkowości przyklejenia elementów,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równomierności przyklejenia elementów na całej długości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zgodności wykonania oznakowania z dokumentacja projektową i załącznikiem nr 2 do rozporządzenia Ministra Infrastruktury z 3 lipca 2003 r. [7].</w:t>
      </w:r>
    </w:p>
    <w:p w:rsidR="00347F7D" w:rsidRDefault="00347F7D" w:rsidP="000941A5">
      <w:pPr>
        <w:pStyle w:val="Styl1"/>
      </w:pPr>
      <w:r>
        <w:t>Protokół z przeprowadzonych badań wraz z jedną próbką na blasze (300x250x0,8 mm) Wykonawca powinien przechować do czasu upływu okresu gwarancji.</w:t>
      </w:r>
      <w:r>
        <w:tab/>
      </w:r>
    </w:p>
    <w:p w:rsidR="00347F7D" w:rsidRDefault="00347F7D" w:rsidP="000941A5">
      <w:pPr>
        <w:pStyle w:val="Styl1"/>
      </w:pPr>
      <w:r>
        <w:t>W przypadku wątpliwości dotyczących wykonania oznakowania poziomego, Inżynier może zlecić wykonanie badań: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dzień,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nocy,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szorstkości,</w:t>
      </w:r>
    </w:p>
    <w:p w:rsidR="00347F7D" w:rsidRDefault="00347F7D" w:rsidP="000941A5">
      <w:pPr>
        <w:pStyle w:val="Styl1"/>
      </w:pPr>
      <w:r>
        <w:t>odpowiadających wymaganiom podanym w punkcie 6.3.1- 6.3.5 i wykonanych według metod określonych w</w:t>
      </w:r>
      <w:r>
        <w:rPr>
          <w:i/>
          <w:color w:val="0000FF"/>
        </w:rPr>
        <w:t xml:space="preserve"> </w:t>
      </w:r>
      <w:r>
        <w:rPr>
          <w:i/>
        </w:rPr>
        <w:t xml:space="preserve">PN-EN 1436. </w:t>
      </w:r>
      <w:r>
        <w:t>Jeżeli wyniki tych badań wykażą wadliwość wykonanego oznakowania to koszt badań ponosi Wykonawca, w przypadku przeciwnym - Zamawiający.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Tolerancje wymiarów oznakowania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6.4.1. Tolerancje nowo wykonanego oznakowania</w:t>
      </w:r>
    </w:p>
    <w:p w:rsidR="00347F7D" w:rsidRDefault="00347F7D" w:rsidP="000941A5">
      <w:pPr>
        <w:pStyle w:val="Styl1"/>
      </w:pPr>
      <w:r>
        <w:t>Tolerancje nowo wykonanego oznakowania poziomego, zgodnego z Dokumentacją Projektową i Rozporządzeniem Ministra Infrastruktury z dn. 03.07.2003 r. w sprawie szczegółowych warunków technicznych dla znaków i sygnałów drogowych oraz urządzeń bezpieczeństwa ruchu drogowego i warunków ich umieszczania na drogach (Dz. U. Nr 220, poz. 2181 z dn. 23.12.2003 r.) powinny odpowiadać następującym warunkom: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szerokość linii może różnić się od wymaganej o </w:t>
      </w:r>
      <w:r>
        <w:sym w:font="Symbol" w:char="F0B1"/>
      </w:r>
      <w:r>
        <w:t xml:space="preserve"> 5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długość linii może być mniejsza od wymaganej co najwyżej o 50 mm lub większa co najwyżej o 150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linii przerywanych, długość cyklu składającego się z linii i przerwy nie może odbiegać od średniej liczonej z 10 kolejnych cykli o więcej niż </w:t>
      </w:r>
      <w:r>
        <w:sym w:font="Symbol" w:char="F0B1"/>
      </w:r>
      <w:r>
        <w:t xml:space="preserve"> 50 mm długości wymaganej,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strzałek, liter i cyfr rozstaw punktów narożnikowych nie może mieć większej odchyłki od wymaganego wzoru niż </w:t>
      </w:r>
      <w:r>
        <w:sym w:font="Symbol" w:char="F0B1"/>
      </w:r>
      <w:r>
        <w:t xml:space="preserve"> 50 mm dla wymiaru długości i </w:t>
      </w:r>
      <w:r>
        <w:sym w:font="Symbol" w:char="F0B1"/>
      </w:r>
      <w:r>
        <w:t xml:space="preserve"> 20 mm dla wymiaru szerokości.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Przy wykonywaniu nowego oznakowania poziomego, spowodowanego zmianami organizacji ruchu, należy dokładnie usunąć zbędne stare oznakowanie.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6.4.2. Tolerancje przy odnawianiu istniejącego oznakowania</w:t>
      </w:r>
    </w:p>
    <w:p w:rsidR="00347F7D" w:rsidRDefault="00347F7D" w:rsidP="000941A5">
      <w:pPr>
        <w:pStyle w:val="Styl1"/>
      </w:pPr>
      <w:r>
        <w:t>Przy odnawianiu istniejącego oznakowania należy dążyć do  pokrycia pełnej powierzchni istniejących znaków, przy zachowaniu dopuszczalnych tolerancji podanych w punkcie 6.4.1.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OBMIAR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Ogólne zasady obmiaru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zasady obmiaru robót podano w ST D.00.00.00 „Wymagania ogólne".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t>Jednostką obmiarową oznakowania poziomego jest 1 m</w:t>
      </w:r>
      <w:r>
        <w:rPr>
          <w:vertAlign w:val="superscript"/>
        </w:rPr>
        <w:t>2</w:t>
      </w:r>
      <w:r>
        <w:t xml:space="preserve"> (metr kwadratowy) powierzchni naniesionych </w:t>
      </w:r>
      <w:proofErr w:type="spellStart"/>
      <w:r>
        <w:t>oznakowań</w:t>
      </w:r>
      <w:proofErr w:type="spellEnd"/>
      <w:r>
        <w:t xml:space="preserve"> w postaci: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segregacyjnych,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krawędziowych,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strzałek,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znaków poprzecznych,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powierzchni wyłączonych z ruchu.</w:t>
      </w:r>
    </w:p>
    <w:p w:rsidR="000941A5" w:rsidRDefault="000941A5" w:rsidP="000941A5">
      <w:pPr>
        <w:pStyle w:val="Styl1"/>
        <w:ind w:left="340"/>
        <w:rPr>
          <w:bCs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ODBIÓR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Ogólne zasady odbioru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odbioru robót podano w ST D.00.00.00 „Wymagania ogólne”.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Roboty uznaje się za wykonane zgodnie z dokumentacją projektową, ST i wymaganiami Inżyniera, jeżeli wszystkie pomiary i badania, z zachowaniem tolerancji wg pkt 6, dały wyniki pozytywne.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Odbiór oznakowania poziomego obejmuje: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 xml:space="preserve">odbiór robót zanikających i ulegających zakryciu - oczyszczenie nawierzchni przed znakowaniem, </w:t>
      </w: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ostateczny – wszystkie elementy robót objęte w niniejszej ST,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pogwarancyjny oznakowania (po upływie okresu gwarancyjnego).</w:t>
      </w:r>
    </w:p>
    <w:p w:rsidR="000941A5" w:rsidRDefault="000941A5" w:rsidP="000941A5">
      <w:pPr>
        <w:pStyle w:val="Styl1"/>
        <w:ind w:left="360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PODSTAWA PŁATNOŚCI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Ogólne ustalenia dotyczące podstawy płatności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ustalenia dotyczące podstawy płatności podano w ST D.00.00.00 "Wymagania ogólne" pkt 9</w:t>
      </w:r>
      <w:r w:rsidR="000941A5">
        <w:t>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Cena jednostki obmiarowej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Cena 1 m</w:t>
      </w:r>
      <w:r>
        <w:rPr>
          <w:vertAlign w:val="superscript"/>
        </w:rPr>
        <w:t>2</w:t>
      </w:r>
      <w:r>
        <w:t xml:space="preserve"> oznakowania poziomego wg jednostek obmiarowych w pkt. 7 a) do e) obejmuje: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wytyczenie i prace pomiarowe,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prace przygotowawcze i oznakowanie robót,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zakup, przygotowanie i dostarczenie materiałów,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oczyszczenie podłoża (nawierzchni),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naniesienie na nawierzchnię drogi znaków o kształtach i wymiarach zgodnie z Dokumentacją Projektową, DU RP Nr 220 z dn. 23.12.2003 poz.2181 i 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ochronę znaków przed zniszczeniem,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badania kontrolne i pomiary,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inne roboty składające się na kompletne wykonanie zakresu robót przewidzianego w ST.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PRZEPISY ZWIĄZANE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10.1. Normy</w:t>
      </w:r>
    </w:p>
    <w:p w:rsidR="0084625B" w:rsidRDefault="0084625B" w:rsidP="000941A5">
      <w:pPr>
        <w:pStyle w:val="Styl1"/>
        <w:rPr>
          <w:b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7380"/>
      </w:tblGrid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PN-C-81400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Wyroby lakierowe. Pakowanie, przechowywanie i transport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PN-O-79252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Opakowania transportowe z zawartością. Znaki i znakowanie. Wymagania podstawowe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1423</w:t>
            </w:r>
          </w:p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 Materiały do posypywania. Kulki szklane, kruszywo przeciwpoślizgowe i ich mieszaniny)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lastRenderedPageBreak/>
              <w:t>PN-EN 1436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Wymagania dotyczące poziomego oznakowania dróg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PN-EN 1871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Właściwości fizyczne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13036-4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 xml:space="preserve">Drogi samochodowe i lotniskowe – Metody badań – Część 4: Metoda pomiaru oporów poślizgu/poślizgnięcia na powierzchni: próba </w:t>
            </w:r>
          </w:p>
        </w:tc>
      </w:tr>
    </w:tbl>
    <w:p w:rsidR="00347F7D" w:rsidRDefault="00347F7D" w:rsidP="000941A5">
      <w:pPr>
        <w:pStyle w:val="Styl1"/>
      </w:pPr>
      <w:r>
        <w:t xml:space="preserve">PN-EN 1790 </w:t>
      </w:r>
      <w:r w:rsidR="00324ACD">
        <w:tab/>
        <w:t xml:space="preserve">         </w:t>
      </w:r>
      <w:r>
        <w:t xml:space="preserve">Materiały do poziomego oznakowania dróg. Prefabrykowane materiały do </w:t>
      </w:r>
      <w:r w:rsidR="00324ACD">
        <w:t xml:space="preserve"> </w:t>
      </w:r>
      <w:r w:rsidR="00324ACD">
        <w:tab/>
      </w:r>
      <w:r w:rsidR="00324ACD">
        <w:tab/>
        <w:t xml:space="preserve">         </w:t>
      </w:r>
      <w:r>
        <w:t>poziomego oznakowania dróg.</w:t>
      </w:r>
    </w:p>
    <w:p w:rsidR="00347F7D" w:rsidRDefault="00347F7D" w:rsidP="000941A5">
      <w:pPr>
        <w:pStyle w:val="Styl1"/>
        <w:rPr>
          <w:b/>
        </w:rPr>
      </w:pPr>
    </w:p>
    <w:p w:rsidR="0084625B" w:rsidRDefault="00347F7D" w:rsidP="000941A5">
      <w:pPr>
        <w:pStyle w:val="Styl1"/>
        <w:numPr>
          <w:ilvl w:val="1"/>
          <w:numId w:val="7"/>
        </w:numPr>
        <w:rPr>
          <w:b/>
        </w:rPr>
      </w:pPr>
      <w:r>
        <w:rPr>
          <w:b/>
        </w:rPr>
        <w:t>Inne dokumenty</w:t>
      </w:r>
    </w:p>
    <w:p w:rsidR="0084625B" w:rsidRDefault="0084625B" w:rsidP="000941A5">
      <w:pPr>
        <w:pStyle w:val="Styl1"/>
        <w:ind w:left="855"/>
        <w:rPr>
          <w:b/>
        </w:rPr>
      </w:pPr>
    </w:p>
    <w:p w:rsidR="0084625B" w:rsidRPr="0084625B" w:rsidRDefault="0084625B" w:rsidP="000941A5">
      <w:pPr>
        <w:pStyle w:val="Styl1"/>
      </w:pPr>
      <w:r w:rsidRPr="0084625B">
        <w:t>Rozporządzenie Ministra Infrastruktury z dnia 3.07.2003 r. W sprawie szczegółowych warunków technicznych dla znaków i sygnałów drogowych oraz urządzeń bezpieczeństwa ruchu drogowego i warunków ich umieszczania na drogach (DZU z 2003r Nr220, poz.2181)</w:t>
      </w:r>
      <w:r w:rsidR="00324ACD">
        <w:t>.</w:t>
      </w:r>
    </w:p>
    <w:p w:rsidR="0084625B" w:rsidRPr="0084625B" w:rsidRDefault="0084625B" w:rsidP="000941A5">
      <w:pPr>
        <w:pStyle w:val="Styl1"/>
      </w:pPr>
      <w:r w:rsidRPr="0084625B">
        <w:t>Warunki Techniczne – POD-97</w:t>
      </w:r>
    </w:p>
    <w:p w:rsidR="0084625B" w:rsidRP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p w:rsid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Pr="0084625B" w:rsidRDefault="004365D0" w:rsidP="000941A5">
      <w:pPr>
        <w:pStyle w:val="Styl1"/>
      </w:pPr>
    </w:p>
    <w:sectPr w:rsidR="004365D0" w:rsidRPr="0084625B" w:rsidSect="00B3724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87E" w:rsidRDefault="00BF587E" w:rsidP="00324ACD">
      <w:r>
        <w:separator/>
      </w:r>
    </w:p>
  </w:endnote>
  <w:endnote w:type="continuationSeparator" w:id="0">
    <w:p w:rsidR="00BF587E" w:rsidRDefault="00BF587E" w:rsidP="0032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-1400906081"/>
      <w:docPartObj>
        <w:docPartGallery w:val="Page Numbers (Bottom of Page)"/>
        <w:docPartUnique/>
      </w:docPartObj>
    </w:sdtPr>
    <w:sdtEndPr/>
    <w:sdtContent>
      <w:p w:rsidR="00285D97" w:rsidRPr="00536895" w:rsidRDefault="00285D97">
        <w:pPr>
          <w:pStyle w:val="Stopka"/>
          <w:jc w:val="center"/>
          <w:rPr>
            <w:rFonts w:ascii="Arial" w:hAnsi="Arial" w:cs="Arial"/>
            <w:sz w:val="20"/>
          </w:rPr>
        </w:pPr>
        <w:r w:rsidRPr="00536895">
          <w:rPr>
            <w:rFonts w:ascii="Arial" w:hAnsi="Arial" w:cs="Arial"/>
            <w:sz w:val="20"/>
          </w:rPr>
          <w:fldChar w:fldCharType="begin"/>
        </w:r>
        <w:r w:rsidRPr="00536895">
          <w:rPr>
            <w:rFonts w:ascii="Arial" w:hAnsi="Arial" w:cs="Arial"/>
            <w:sz w:val="20"/>
          </w:rPr>
          <w:instrText>PAGE   \* MERGEFORMAT</w:instrText>
        </w:r>
        <w:r w:rsidRPr="00536895">
          <w:rPr>
            <w:rFonts w:ascii="Arial" w:hAnsi="Arial" w:cs="Arial"/>
            <w:sz w:val="20"/>
          </w:rPr>
          <w:fldChar w:fldCharType="separate"/>
        </w:r>
        <w:r w:rsidR="00B37248">
          <w:rPr>
            <w:rFonts w:ascii="Arial" w:hAnsi="Arial" w:cs="Arial"/>
            <w:noProof/>
            <w:sz w:val="20"/>
          </w:rPr>
          <w:t>182</w:t>
        </w:r>
        <w:r w:rsidRPr="00536895">
          <w:rPr>
            <w:rFonts w:ascii="Arial" w:hAnsi="Arial" w:cs="Arial"/>
            <w:sz w:val="20"/>
          </w:rPr>
          <w:fldChar w:fldCharType="end"/>
        </w:r>
      </w:p>
    </w:sdtContent>
  </w:sdt>
  <w:p w:rsidR="00324ACD" w:rsidRDefault="00324A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87E" w:rsidRDefault="00BF587E" w:rsidP="00324ACD">
      <w:r>
        <w:separator/>
      </w:r>
    </w:p>
  </w:footnote>
  <w:footnote w:type="continuationSeparator" w:id="0">
    <w:p w:rsidR="00BF587E" w:rsidRDefault="00BF587E" w:rsidP="00324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895" w:rsidRPr="00536895" w:rsidRDefault="00536895" w:rsidP="00536895">
    <w:pPr>
      <w:pStyle w:val="Nagwek"/>
      <w:pBdr>
        <w:bottom w:val="single" w:sz="4" w:space="1" w:color="auto"/>
      </w:pBdr>
      <w:jc w:val="center"/>
      <w:rPr>
        <w:rFonts w:ascii="Arial" w:hAnsi="Arial" w:cs="Arial"/>
      </w:rPr>
    </w:pPr>
    <w:r>
      <w:rPr>
        <w:rFonts w:ascii="Arial" w:hAnsi="Arial" w:cs="Arial"/>
        <w:sz w:val="22"/>
      </w:rPr>
      <w:t xml:space="preserve">D.07.01.01       </w:t>
    </w:r>
    <w:r w:rsidRPr="00536895">
      <w:rPr>
        <w:rFonts w:ascii="Arial" w:hAnsi="Arial" w:cs="Arial"/>
        <w:sz w:val="22"/>
      </w:rPr>
      <w:t>OZNAKOWANIE POZIOME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50F84"/>
    <w:multiLevelType w:val="multilevel"/>
    <w:tmpl w:val="B394DF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FB13478"/>
    <w:multiLevelType w:val="multilevel"/>
    <w:tmpl w:val="C920715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5B48F7"/>
    <w:multiLevelType w:val="multilevel"/>
    <w:tmpl w:val="A68A67C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7EA12D6"/>
    <w:multiLevelType w:val="multilevel"/>
    <w:tmpl w:val="F06CF5D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4EA4B4A"/>
    <w:multiLevelType w:val="hybridMultilevel"/>
    <w:tmpl w:val="2706697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B20450"/>
    <w:multiLevelType w:val="multilevel"/>
    <w:tmpl w:val="8A9859B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6687E37"/>
    <w:multiLevelType w:val="hybridMultilevel"/>
    <w:tmpl w:val="D1788F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D14428C">
      <w:start w:val="2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222702"/>
    <w:multiLevelType w:val="multilevel"/>
    <w:tmpl w:val="A4D884C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66668EF"/>
    <w:multiLevelType w:val="multilevel"/>
    <w:tmpl w:val="DD58F94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870254D"/>
    <w:multiLevelType w:val="hybridMultilevel"/>
    <w:tmpl w:val="68504F12"/>
    <w:lvl w:ilvl="0" w:tplc="53986CB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AE30ED3"/>
    <w:multiLevelType w:val="multilevel"/>
    <w:tmpl w:val="E2A4723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22C0B89"/>
    <w:multiLevelType w:val="hybridMultilevel"/>
    <w:tmpl w:val="4BB85EB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75D83F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0F71E5"/>
    <w:multiLevelType w:val="multilevel"/>
    <w:tmpl w:val="9EFC994E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61963EE"/>
    <w:multiLevelType w:val="hybridMultilevel"/>
    <w:tmpl w:val="C8FE712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257B48"/>
    <w:multiLevelType w:val="hybridMultilevel"/>
    <w:tmpl w:val="A8DA5E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2"/>
  </w:num>
  <w:num w:numId="5">
    <w:abstractNumId w:val="4"/>
  </w:num>
  <w:num w:numId="6">
    <w:abstractNumId w:val="9"/>
  </w:num>
  <w:num w:numId="7">
    <w:abstractNumId w:val="10"/>
  </w:num>
  <w:num w:numId="8">
    <w:abstractNumId w:val="1"/>
  </w:num>
  <w:num w:numId="9">
    <w:abstractNumId w:val="2"/>
  </w:num>
  <w:num w:numId="10">
    <w:abstractNumId w:val="13"/>
  </w:num>
  <w:num w:numId="11">
    <w:abstractNumId w:val="11"/>
  </w:num>
  <w:num w:numId="12">
    <w:abstractNumId w:val="3"/>
  </w:num>
  <w:num w:numId="13">
    <w:abstractNumId w:val="8"/>
  </w:num>
  <w:num w:numId="14">
    <w:abstractNumId w:val="0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2D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941A5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25092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05222"/>
    <w:rsid w:val="00211422"/>
    <w:rsid w:val="0021340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5D97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4ACD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47F7D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365D0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626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36895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3C7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65C9"/>
    <w:rsid w:val="006305DB"/>
    <w:rsid w:val="0063764D"/>
    <w:rsid w:val="006503E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625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026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472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D4CB2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3724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5299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BF587E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0BE2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01E54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05E59F-FB7D-4865-94BA-F6C3B58C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7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47F7D"/>
    <w:pPr>
      <w:jc w:val="both"/>
    </w:pPr>
    <w:rPr>
      <w:rFonts w:ascii="Arial" w:hAnsi="Arial"/>
      <w:sz w:val="20"/>
    </w:rPr>
  </w:style>
  <w:style w:type="paragraph" w:customStyle="1" w:styleId="PUNKTY11">
    <w:name w:val="PUNKTY_1 1."/>
    <w:next w:val="Normalny"/>
    <w:rsid w:val="00347F7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Normalny"/>
    <w:rsid w:val="00347F7D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TEKST1Tre">
    <w:name w:val="TEKST_1 Treść"/>
    <w:rsid w:val="00347F7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347F7D"/>
    <w:pPr>
      <w:numPr>
        <w:ilvl w:val="12"/>
      </w:numPr>
      <w:spacing w:before="120"/>
      <w:ind w:left="709" w:hanging="709"/>
    </w:pPr>
    <w:rPr>
      <w:rFonts w:ascii="Arial" w:hAnsi="Arial"/>
      <w:bCs/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7F7D"/>
    <w:rPr>
      <w:rFonts w:ascii="Arial" w:eastAsia="Times New Roman" w:hAnsi="Arial" w:cs="Times New Roman"/>
      <w:bCs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8E27F-FBE0-4511-B893-000A67D07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4266</Words>
  <Characters>25601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16</cp:revision>
  <dcterms:created xsi:type="dcterms:W3CDTF">2015-01-11T18:02:00Z</dcterms:created>
  <dcterms:modified xsi:type="dcterms:W3CDTF">2018-11-04T15:34:00Z</dcterms:modified>
</cp:coreProperties>
</file>